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27F" w:rsidRDefault="009D7B05" w:rsidP="001E6CD1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ERH </w:t>
      </w:r>
      <w:r w:rsidR="008C0327" w:rsidRPr="00C30A7B">
        <w:rPr>
          <w:rFonts w:ascii="Arial" w:hAnsi="Arial" w:cs="Arial"/>
          <w:b/>
          <w:sz w:val="20"/>
          <w:szCs w:val="20"/>
          <w:lang w:val="en-US"/>
        </w:rPr>
        <w:t>Paediatrics</w:t>
      </w:r>
      <w:r>
        <w:rPr>
          <w:rFonts w:ascii="Arial" w:hAnsi="Arial" w:cs="Arial"/>
          <w:b/>
          <w:sz w:val="20"/>
          <w:szCs w:val="20"/>
          <w:lang w:val="en-US"/>
        </w:rPr>
        <w:t xml:space="preserve"> referral</w:t>
      </w:r>
      <w:r w:rsidR="00C30A7B">
        <w:rPr>
          <w:rFonts w:ascii="Arial" w:hAnsi="Arial" w:cs="Arial"/>
          <w:b/>
          <w:sz w:val="20"/>
          <w:szCs w:val="20"/>
          <w:lang w:val="en-US"/>
        </w:rPr>
        <w:t xml:space="preserve"> Procedure</w:t>
      </w:r>
      <w:r>
        <w:rPr>
          <w:rFonts w:ascii="Arial" w:hAnsi="Arial" w:cs="Arial"/>
          <w:b/>
          <w:sz w:val="20"/>
          <w:szCs w:val="20"/>
          <w:lang w:val="en-US"/>
        </w:rPr>
        <w:t xml:space="preserve"> Specialist Clinics</w:t>
      </w:r>
    </w:p>
    <w:p w:rsidR="00A249DB" w:rsidRPr="008D0D81" w:rsidRDefault="00A249DB" w:rsidP="00A249DB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8D0D8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 public outpatient service with no out of pocket cost for consumers.</w:t>
      </w:r>
    </w:p>
    <w:p w:rsidR="00676021" w:rsidRPr="00C30A7B" w:rsidRDefault="00676021" w:rsidP="001E6CD1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Referrals</w:t>
      </w:r>
    </w:p>
    <w:p w:rsidR="00A249DB" w:rsidRPr="008327F2" w:rsidRDefault="008C0327" w:rsidP="00A249DB">
      <w:pPr>
        <w:spacing w:line="240" w:lineRule="auto"/>
        <w:rPr>
          <w:rFonts w:ascii="Arial" w:eastAsia="Times New Roman" w:hAnsi="Arial" w:cs="Arial"/>
          <w:color w:val="085296"/>
          <w:kern w:val="28"/>
          <w:sz w:val="20"/>
          <w:szCs w:val="20"/>
          <w:u w:val="single"/>
          <w:lang w:val="en-US" w:eastAsia="en-AU"/>
          <w14:cntxtAlts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All referrals must meet State-wide referral Criteria - </w:t>
      </w:r>
      <w:hyperlink r:id="rId5" w:history="1">
        <w:r w:rsidR="00A249DB" w:rsidRPr="008327F2">
          <w:rPr>
            <w:rFonts w:ascii="Arial" w:hAnsi="Arial" w:cs="Arial"/>
            <w:color w:val="0000FF"/>
            <w:sz w:val="20"/>
            <w:szCs w:val="20"/>
            <w:u w:val="single"/>
          </w:rPr>
          <w:t>Minimum information for referrals to non-admitted specialist services | health.vic.gov.au</w:t>
        </w:r>
      </w:hyperlink>
    </w:p>
    <w:p w:rsidR="001844FD" w:rsidRPr="00C30A7B" w:rsidRDefault="001844FD" w:rsidP="001E6CD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>Referrals are accepted from GP or medical professional</w:t>
      </w:r>
    </w:p>
    <w:p w:rsidR="008C0327" w:rsidRPr="00C30A7B" w:rsidRDefault="008C0327" w:rsidP="001E6CD1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30A7B">
        <w:rPr>
          <w:rFonts w:ascii="Arial" w:hAnsi="Arial" w:cs="Arial"/>
          <w:b/>
          <w:sz w:val="20"/>
          <w:szCs w:val="20"/>
          <w:lang w:val="en-US"/>
        </w:rPr>
        <w:t>Eligibility Criteria</w:t>
      </w:r>
    </w:p>
    <w:p w:rsidR="008C0327" w:rsidRPr="00240D6B" w:rsidRDefault="008C0327" w:rsidP="00240D6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40D6B">
        <w:rPr>
          <w:rFonts w:ascii="Arial" w:hAnsi="Arial" w:cs="Arial"/>
          <w:sz w:val="20"/>
          <w:szCs w:val="20"/>
          <w:lang w:val="en-US"/>
        </w:rPr>
        <w:t>18 years and under</w:t>
      </w:r>
    </w:p>
    <w:p w:rsidR="008C0327" w:rsidRPr="00240D6B" w:rsidRDefault="008C0327" w:rsidP="00240D6B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240D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Behavioural /Developmental, ADHD, and General Paediatrics for children 18 years and under</w:t>
      </w:r>
    </w:p>
    <w:p w:rsidR="008C0327" w:rsidRPr="00C63D7C" w:rsidRDefault="008C0327" w:rsidP="00C63D7C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63D7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We do not currently offer assessment and consultations in Paediatric disordered eating.</w:t>
      </w:r>
    </w:p>
    <w:p w:rsidR="008C0327" w:rsidRPr="00C30A7B" w:rsidRDefault="008C0327" w:rsidP="001E6CD1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In situations where the Consulting Suites Specialist Clinic Paediatrics does not capacity to </w:t>
      </w:r>
      <w:r w:rsidR="001844FD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offer consultations the r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eferral will be redirected to another specialist clinic</w:t>
      </w:r>
      <w:r w:rsidR="00000B3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with consent of </w:t>
      </w:r>
      <w:r w:rsidR="001844FD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Referrer and patient</w:t>
      </w:r>
      <w:r w:rsidR="00000B3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000B3C" w:rsidRPr="00000B3C" w:rsidRDefault="00000B3C" w:rsidP="001E6CD1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bookmarkStart w:id="0" w:name="_GoBack"/>
      <w:bookmarkEnd w:id="0"/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Receiving and managing referrals</w:t>
      </w:r>
    </w:p>
    <w:p w:rsidR="00000B3C" w:rsidRPr="00C30A7B" w:rsidRDefault="00000B3C" w:rsidP="00000B3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cstheme="minorHAnsi"/>
          <w:lang w:val="en-US"/>
        </w:rPr>
        <w:t>S</w:t>
      </w:r>
      <w:r w:rsidRPr="00C55472">
        <w:rPr>
          <w:rFonts w:cstheme="minorHAnsi"/>
          <w:lang w:val="en-US"/>
        </w:rPr>
        <w:t>creening</w:t>
      </w:r>
      <w:r>
        <w:rPr>
          <w:rFonts w:cstheme="minorHAnsi"/>
          <w:lang w:val="en-US"/>
        </w:rPr>
        <w:t xml:space="preserve"> of referral suitability / clinical prioritisation</w:t>
      </w:r>
      <w:r w:rsidRPr="00C55472">
        <w:rPr>
          <w:rFonts w:cstheme="minorHAnsi"/>
          <w:lang w:val="en-US"/>
        </w:rPr>
        <w:t xml:space="preserve"> </w:t>
      </w:r>
      <w:r w:rsidRPr="00C30A7B">
        <w:rPr>
          <w:rFonts w:ascii="Arial" w:hAnsi="Arial" w:cs="Arial"/>
          <w:sz w:val="20"/>
          <w:szCs w:val="20"/>
          <w:lang w:val="en-US"/>
        </w:rPr>
        <w:t>– within 8 working days</w:t>
      </w:r>
    </w:p>
    <w:p w:rsidR="00000B3C" w:rsidRPr="00C30A7B" w:rsidRDefault="00000B3C" w:rsidP="00000B3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>Referral acceptance– within 8 working days</w:t>
      </w:r>
    </w:p>
    <w:p w:rsidR="00000B3C" w:rsidRPr="00C30A7B" w:rsidRDefault="00000B3C" w:rsidP="00000B3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Referral acknowledgement </w:t>
      </w:r>
      <w:r w:rsidR="00435760">
        <w:rPr>
          <w:rFonts w:cstheme="minorHAnsi"/>
          <w:lang w:val="en-US"/>
        </w:rPr>
        <w:t>to referrer</w:t>
      </w:r>
      <w:r w:rsidR="00435760" w:rsidRPr="00C30A7B">
        <w:rPr>
          <w:rFonts w:ascii="Arial" w:hAnsi="Arial" w:cs="Arial"/>
          <w:sz w:val="20"/>
          <w:szCs w:val="20"/>
          <w:lang w:val="en-US"/>
        </w:rPr>
        <w:t xml:space="preserve"> </w:t>
      </w:r>
      <w:r w:rsidRPr="00C30A7B">
        <w:rPr>
          <w:rFonts w:ascii="Arial" w:hAnsi="Arial" w:cs="Arial"/>
          <w:sz w:val="20"/>
          <w:szCs w:val="20"/>
          <w:lang w:val="en-US"/>
        </w:rPr>
        <w:t xml:space="preserve">– </w:t>
      </w:r>
      <w:r>
        <w:rPr>
          <w:rFonts w:ascii="Arial" w:hAnsi="Arial" w:cs="Arial"/>
          <w:sz w:val="20"/>
          <w:szCs w:val="20"/>
          <w:lang w:val="en-US"/>
        </w:rPr>
        <w:t>within 8 working days</w:t>
      </w:r>
    </w:p>
    <w:p w:rsidR="00435760" w:rsidRPr="00C55472" w:rsidRDefault="00435760" w:rsidP="00435760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Appointment time (urgent) or placed on waiting list (routine) – within 8 working days</w:t>
      </w:r>
    </w:p>
    <w:p w:rsidR="00435760" w:rsidRPr="00000B3C" w:rsidRDefault="00435760" w:rsidP="00435760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bookmarkStart w:id="1" w:name="_Hlk183696659"/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Clinical Prioritisation/Triage categories</w:t>
      </w:r>
    </w:p>
    <w:p w:rsidR="00435760" w:rsidRPr="00C30A7B" w:rsidRDefault="00435760" w:rsidP="00435760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Urgent – seen within 30 working days</w:t>
      </w:r>
    </w:p>
    <w:p w:rsidR="00435760" w:rsidRDefault="00435760" w:rsidP="00435760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Routine – seen within 12-14 months following the ‘next in turn’ policy</w:t>
      </w:r>
    </w:p>
    <w:bookmarkEnd w:id="1"/>
    <w:p w:rsidR="00435760" w:rsidRPr="00000B3C" w:rsidRDefault="00435760" w:rsidP="00435760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Written Communication</w:t>
      </w:r>
    </w:p>
    <w:p w:rsidR="00435760" w:rsidRPr="00C30A7B" w:rsidRDefault="00435760" w:rsidP="0043576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Progress letter sent to referrer/GP following each appointment 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C30A7B">
        <w:rPr>
          <w:rFonts w:ascii="Arial" w:hAnsi="Arial" w:cs="Arial"/>
          <w:sz w:val="20"/>
          <w:szCs w:val="20"/>
          <w:lang w:val="en-US"/>
        </w:rPr>
        <w:t>within 8 working days</w:t>
      </w:r>
    </w:p>
    <w:p w:rsidR="00D72766" w:rsidRPr="00D72766" w:rsidRDefault="00D72766" w:rsidP="00D72766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72766">
        <w:rPr>
          <w:rFonts w:ascii="Arial" w:hAnsi="Arial" w:cs="Arial"/>
          <w:sz w:val="20"/>
          <w:szCs w:val="20"/>
          <w:lang w:val="en-US"/>
        </w:rPr>
        <w:t>Discharge letter sent to referrer/GP - within 8 working days following final appointment</w:t>
      </w:r>
    </w:p>
    <w:p w:rsidR="001844FD" w:rsidRPr="00C30A7B" w:rsidRDefault="001844FD" w:rsidP="001E6CD1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Waitlist</w:t>
      </w:r>
    </w:p>
    <w:p w:rsidR="00134BB4" w:rsidRPr="00C30A7B" w:rsidRDefault="001844FD" w:rsidP="001E6CD1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Waitlist is </w:t>
      </w:r>
      <w:r w:rsidR="00134BB4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reviewed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="00134BB4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regularly.</w:t>
      </w:r>
    </w:p>
    <w:p w:rsidR="00134BB4" w:rsidRPr="00C30A7B" w:rsidRDefault="00134BB4" w:rsidP="001E6CD1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that have been on waitlist 12 months will be contacted via telephone</w:t>
      </w:r>
      <w:r w:rsidR="00AE54D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at a </w:t>
      </w:r>
      <w:r w:rsidR="00D7276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6-month</w:t>
      </w:r>
      <w:r w:rsidR="00AE54D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bookmarkStart w:id="2" w:name="_Hlk185337141"/>
      <w:r w:rsidR="00AE54D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interval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to establish if </w:t>
      </w:r>
      <w:r w:rsidR="00AE54D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they are 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still requiring an appointment</w:t>
      </w:r>
      <w:r w:rsidR="00AE54D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</w:t>
      </w:r>
      <w:r w:rsidR="00AE54D6" w:rsidRPr="00AE54D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="00AE54D6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update any </w:t>
      </w:r>
      <w:r w:rsidR="00240D6B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detail</w:t>
      </w:r>
      <w:r w:rsidR="00240D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bookmarkEnd w:id="2"/>
    <w:p w:rsidR="00134BB4" w:rsidRPr="00C30A7B" w:rsidRDefault="00134BB4" w:rsidP="001E6CD1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Updated referrals will be reviewed by specialist and triaged accordingly.</w:t>
      </w:r>
    </w:p>
    <w:p w:rsidR="004C1BD6" w:rsidRPr="00C30A7B" w:rsidRDefault="00435760" w:rsidP="001E6CD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Appointments are made with patient via telephone with the option of </w:t>
      </w:r>
      <w:r w:rsidR="004C1BD6" w:rsidRPr="00C30A7B">
        <w:rPr>
          <w:rFonts w:ascii="Arial" w:hAnsi="Arial" w:cs="Arial"/>
          <w:sz w:val="20"/>
          <w:szCs w:val="20"/>
          <w:lang w:val="en-US"/>
        </w:rPr>
        <w:t xml:space="preserve">appointment time and date provided to patient in writing. </w:t>
      </w:r>
    </w:p>
    <w:p w:rsidR="004C1BD6" w:rsidRDefault="004C1BD6" w:rsidP="001E6CD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bookmarkStart w:id="3" w:name="_Hlk184742056"/>
      <w:r w:rsidRPr="00C30A7B">
        <w:rPr>
          <w:rFonts w:ascii="Arial" w:hAnsi="Arial" w:cs="Arial"/>
          <w:sz w:val="20"/>
          <w:szCs w:val="20"/>
          <w:lang w:val="en-US"/>
        </w:rPr>
        <w:t>A reminder text message is sent to patient 24 hours prior to scheduled appointment</w:t>
      </w:r>
    </w:p>
    <w:p w:rsidR="004C1BD6" w:rsidRPr="00101961" w:rsidRDefault="00574544" w:rsidP="001E6CD1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bookmarkStart w:id="4" w:name="_Hlk185344251"/>
      <w:bookmarkEnd w:id="3"/>
      <w:r w:rsidRPr="00101961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Did Not Attend (DNA)</w:t>
      </w:r>
    </w:p>
    <w:p w:rsidR="00574544" w:rsidRPr="00C30A7B" w:rsidRDefault="00574544" w:rsidP="001E6CD1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a patient fails to attend an appointment, the team will attempt phone contact with patient.  A failure to attend letter will be sent to the patient and referrer</w:t>
      </w:r>
      <w:r w:rsidR="00D7276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="00D72766" w:rsidRPr="003D36B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prompting the patient to contact the specialist clinic to reschedule the appointment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.  It is the </w:t>
      </w:r>
      <w:r w:rsidR="00D56811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patient’s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responsibility to contact the Specialist Clinic to reschedule the appointment.</w:t>
      </w:r>
    </w:p>
    <w:p w:rsidR="00574544" w:rsidRPr="00C30A7B" w:rsidRDefault="00574544" w:rsidP="001E6CD1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the patient is classified as high risk the specialist will contact he patient to reschedule the appointment.</w:t>
      </w:r>
    </w:p>
    <w:p w:rsidR="00574544" w:rsidRPr="00C30A7B" w:rsidRDefault="00574544" w:rsidP="001E6CD1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</w:t>
      </w:r>
      <w:bookmarkStart w:id="5" w:name="_Hlk185582637"/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 that does not attend a scheduled appointment may be subject to a fee set by the Specialist</w:t>
      </w:r>
      <w:bookmarkEnd w:id="5"/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bookmarkEnd w:id="4"/>
    <w:p w:rsidR="008C0327" w:rsidRPr="004C1BD6" w:rsidRDefault="008C0327" w:rsidP="004C1BD6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en-AU"/>
          <w14:cntxtAlts/>
        </w:rPr>
      </w:pPr>
    </w:p>
    <w:sectPr w:rsidR="008C0327" w:rsidRPr="004C1BD6" w:rsidSect="00574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67EE"/>
    <w:multiLevelType w:val="hybridMultilevel"/>
    <w:tmpl w:val="DE7CC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35F8"/>
    <w:multiLevelType w:val="hybridMultilevel"/>
    <w:tmpl w:val="6D48B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F2EB3"/>
    <w:multiLevelType w:val="hybridMultilevel"/>
    <w:tmpl w:val="B91E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90308"/>
    <w:multiLevelType w:val="hybridMultilevel"/>
    <w:tmpl w:val="ED6E5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83A9A"/>
    <w:multiLevelType w:val="hybridMultilevel"/>
    <w:tmpl w:val="BF584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27"/>
    <w:rsid w:val="00000B3C"/>
    <w:rsid w:val="00101961"/>
    <w:rsid w:val="00123FB4"/>
    <w:rsid w:val="00134BB4"/>
    <w:rsid w:val="001844FD"/>
    <w:rsid w:val="001C30F2"/>
    <w:rsid w:val="001E6CD1"/>
    <w:rsid w:val="00240D6B"/>
    <w:rsid w:val="00435760"/>
    <w:rsid w:val="00481C70"/>
    <w:rsid w:val="004C1BD6"/>
    <w:rsid w:val="0053276A"/>
    <w:rsid w:val="00574544"/>
    <w:rsid w:val="005E0A29"/>
    <w:rsid w:val="0062327F"/>
    <w:rsid w:val="00676021"/>
    <w:rsid w:val="006B6740"/>
    <w:rsid w:val="008C0327"/>
    <w:rsid w:val="0092302E"/>
    <w:rsid w:val="00980888"/>
    <w:rsid w:val="009D7B05"/>
    <w:rsid w:val="00A249DB"/>
    <w:rsid w:val="00AE54D6"/>
    <w:rsid w:val="00AF1F18"/>
    <w:rsid w:val="00BE7D3E"/>
    <w:rsid w:val="00C30A7B"/>
    <w:rsid w:val="00C63D7C"/>
    <w:rsid w:val="00D56811"/>
    <w:rsid w:val="00D72766"/>
    <w:rsid w:val="00E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C6BC-5B49-4F65-89B5-A4BC03A4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vic.gov.au/patient-care/minimum-information-referrals-non-admitted-specialist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Hogg</dc:creator>
  <cp:keywords/>
  <dc:description/>
  <cp:lastModifiedBy>Gayle Hogg</cp:lastModifiedBy>
  <cp:revision>2</cp:revision>
  <cp:lastPrinted>2024-12-20T02:35:00Z</cp:lastPrinted>
  <dcterms:created xsi:type="dcterms:W3CDTF">2025-05-06T05:53:00Z</dcterms:created>
  <dcterms:modified xsi:type="dcterms:W3CDTF">2025-05-06T05:53:00Z</dcterms:modified>
</cp:coreProperties>
</file>